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41BA8" w14:textId="259B19D6" w:rsidR="008879F0" w:rsidRPr="0047661E" w:rsidRDefault="008879F0" w:rsidP="008879F0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 w:rsidRPr="00314DCA">
        <w:rPr>
          <w:rFonts w:cs="Arial"/>
          <w:sz w:val="24"/>
        </w:rPr>
        <w:t>3GPP TSG-RAN WG2 #</w:t>
      </w:r>
      <w:r>
        <w:rPr>
          <w:rFonts w:cs="Arial"/>
          <w:sz w:val="24"/>
        </w:rPr>
        <w:t>121</w:t>
      </w:r>
      <w:r w:rsidR="005462EC">
        <w:rPr>
          <w:rFonts w:cs="Arial"/>
          <w:sz w:val="24"/>
        </w:rPr>
        <w:t>bis.e</w:t>
      </w:r>
      <w:r w:rsidRPr="00314DCA">
        <w:rPr>
          <w:rFonts w:cs="Arial"/>
          <w:sz w:val="24"/>
        </w:rPr>
        <w:tab/>
      </w:r>
      <w:r w:rsidRPr="00530E11">
        <w:rPr>
          <w:rFonts w:cs="Arial"/>
          <w:sz w:val="32"/>
          <w:szCs w:val="32"/>
        </w:rPr>
        <w:t>R2-</w:t>
      </w:r>
      <w:r w:rsidRPr="008735BA">
        <w:rPr>
          <w:rFonts w:cs="Arial"/>
          <w:sz w:val="32"/>
          <w:szCs w:val="32"/>
        </w:rPr>
        <w:t>2</w:t>
      </w:r>
      <w:r w:rsidR="004E3B20">
        <w:rPr>
          <w:rFonts w:cs="Arial"/>
          <w:sz w:val="32"/>
          <w:szCs w:val="32"/>
        </w:rPr>
        <w:t>3</w:t>
      </w:r>
      <w:r w:rsidR="00C5572B">
        <w:rPr>
          <w:rFonts w:cs="Arial"/>
          <w:sz w:val="32"/>
          <w:szCs w:val="32"/>
        </w:rPr>
        <w:t>04064</w:t>
      </w:r>
    </w:p>
    <w:p w14:paraId="1405D114" w14:textId="77E0F2BD" w:rsidR="008879F0" w:rsidRPr="008B1DE1" w:rsidRDefault="005462EC" w:rsidP="008879F0">
      <w:pPr>
        <w:pStyle w:val="3GPPHeader"/>
        <w:rPr>
          <w:sz w:val="24"/>
        </w:rPr>
      </w:pPr>
      <w:r>
        <w:rPr>
          <w:sz w:val="24"/>
        </w:rPr>
        <w:t>Online meeting, 17</w:t>
      </w:r>
      <w:r w:rsidRPr="005462EC">
        <w:rPr>
          <w:sz w:val="24"/>
          <w:vertAlign w:val="superscript"/>
        </w:rPr>
        <w:t>th</w:t>
      </w:r>
      <w:r>
        <w:rPr>
          <w:sz w:val="24"/>
        </w:rPr>
        <w:t xml:space="preserve"> – 26</w:t>
      </w:r>
      <w:r w:rsidRPr="005462EC">
        <w:rPr>
          <w:sz w:val="24"/>
          <w:vertAlign w:val="superscript"/>
        </w:rPr>
        <w:t>th</w:t>
      </w:r>
      <w:r>
        <w:rPr>
          <w:sz w:val="24"/>
        </w:rPr>
        <w:t xml:space="preserve"> April</w:t>
      </w:r>
      <w:r w:rsidR="008879F0">
        <w:rPr>
          <w:sz w:val="24"/>
        </w:rPr>
        <w:t xml:space="preserve"> </w:t>
      </w:r>
      <w:r w:rsidR="008879F0" w:rsidRPr="00F20BBA">
        <w:rPr>
          <w:sz w:val="24"/>
        </w:rPr>
        <w:t>202</w:t>
      </w:r>
      <w:r w:rsidR="008879F0">
        <w:rPr>
          <w:sz w:val="24"/>
        </w:rPr>
        <w:t>3</w:t>
      </w:r>
      <w:r w:rsidR="008879F0">
        <w:rPr>
          <w:sz w:val="24"/>
        </w:rPr>
        <w:tab/>
      </w:r>
    </w:p>
    <w:p w14:paraId="3E32A5F6" w14:textId="77777777" w:rsidR="008879F0" w:rsidRDefault="008879F0" w:rsidP="008879F0">
      <w:pPr>
        <w:pStyle w:val="3GPPHeader"/>
        <w:rPr>
          <w:rFonts w:cs="Arial"/>
          <w:sz w:val="22"/>
          <w:szCs w:val="22"/>
        </w:rPr>
      </w:pPr>
    </w:p>
    <w:p w14:paraId="3815A2F6" w14:textId="62DE9604" w:rsidR="008879F0" w:rsidRPr="008879F0" w:rsidRDefault="008879F0" w:rsidP="008879F0">
      <w:pPr>
        <w:pStyle w:val="3GPPHeader"/>
        <w:rPr>
          <w:rFonts w:cs="Arial"/>
          <w:sz w:val="22"/>
          <w:szCs w:val="22"/>
        </w:rPr>
      </w:pPr>
      <w:r w:rsidRPr="00BD4EB1">
        <w:rPr>
          <w:rFonts w:cs="Arial"/>
          <w:sz w:val="22"/>
          <w:szCs w:val="22"/>
        </w:rPr>
        <w:t>Agenda Item:</w:t>
      </w:r>
      <w:r w:rsidRPr="00BD4EB1">
        <w:rPr>
          <w:rFonts w:cs="Arial"/>
          <w:sz w:val="22"/>
          <w:szCs w:val="22"/>
        </w:rPr>
        <w:tab/>
      </w:r>
      <w:r w:rsidR="005462EC">
        <w:rPr>
          <w:rFonts w:cs="Arial"/>
          <w:sz w:val="22"/>
          <w:szCs w:val="22"/>
        </w:rPr>
        <w:t>7</w:t>
      </w:r>
      <w:r w:rsidRPr="006B3329">
        <w:rPr>
          <w:rFonts w:cs="Arial"/>
          <w:sz w:val="22"/>
          <w:szCs w:val="22"/>
        </w:rPr>
        <w:t>.19.</w:t>
      </w:r>
      <w:r>
        <w:rPr>
          <w:rFonts w:cs="Arial"/>
          <w:sz w:val="22"/>
          <w:szCs w:val="22"/>
        </w:rPr>
        <w:t>3</w:t>
      </w:r>
    </w:p>
    <w:p w14:paraId="311993FB" w14:textId="77777777" w:rsidR="008879F0" w:rsidRPr="00BD4EB1" w:rsidRDefault="008879F0" w:rsidP="008879F0">
      <w:pPr>
        <w:pStyle w:val="3GPPHeader"/>
        <w:rPr>
          <w:rFonts w:cs="Arial"/>
          <w:sz w:val="22"/>
          <w:szCs w:val="22"/>
        </w:rPr>
      </w:pPr>
      <w:r w:rsidRPr="00BD4EB1">
        <w:rPr>
          <w:rFonts w:cs="Arial"/>
          <w:sz w:val="22"/>
          <w:szCs w:val="22"/>
        </w:rPr>
        <w:t>Source:</w:t>
      </w:r>
      <w:r w:rsidRPr="00BD4EB1">
        <w:rPr>
          <w:rFonts w:cs="Arial"/>
          <w:sz w:val="22"/>
          <w:szCs w:val="22"/>
        </w:rPr>
        <w:tab/>
        <w:t>Ericsson</w:t>
      </w:r>
    </w:p>
    <w:p w14:paraId="3D4ECB24" w14:textId="1CA6FF93" w:rsidR="008879F0" w:rsidRPr="008879F0" w:rsidRDefault="008879F0" w:rsidP="008879F0">
      <w:pPr>
        <w:pStyle w:val="3GPPHeader"/>
      </w:pPr>
      <w:r w:rsidRPr="2EE9C89E">
        <w:rPr>
          <w:rFonts w:cs="Arial"/>
          <w:sz w:val="22"/>
          <w:szCs w:val="22"/>
        </w:rPr>
        <w:t>Title:</w:t>
      </w:r>
      <w:r>
        <w:tab/>
      </w:r>
      <w:r w:rsidR="004216EE" w:rsidRPr="004216EE">
        <w:rPr>
          <w:sz w:val="22"/>
          <w:szCs w:val="28"/>
        </w:rPr>
        <w:t xml:space="preserve">Discussion on </w:t>
      </w:r>
      <w:r w:rsidR="005462EC">
        <w:rPr>
          <w:sz w:val="22"/>
          <w:szCs w:val="28"/>
        </w:rPr>
        <w:t>cell barring for eRedCap UEs</w:t>
      </w:r>
    </w:p>
    <w:p w14:paraId="12D3FE72" w14:textId="77777777" w:rsidR="008879F0" w:rsidRPr="00BD4EB1" w:rsidRDefault="008879F0" w:rsidP="008879F0">
      <w:pPr>
        <w:pStyle w:val="3GPPHeader"/>
        <w:rPr>
          <w:rFonts w:cs="Arial"/>
          <w:sz w:val="22"/>
          <w:szCs w:val="22"/>
        </w:rPr>
      </w:pPr>
      <w:r w:rsidRPr="00BD4EB1">
        <w:rPr>
          <w:rFonts w:cs="Arial"/>
          <w:sz w:val="22"/>
          <w:szCs w:val="22"/>
        </w:rPr>
        <w:t>Document for:</w:t>
      </w:r>
      <w:r w:rsidRPr="00BD4EB1">
        <w:rPr>
          <w:rFonts w:cs="Arial"/>
          <w:sz w:val="22"/>
          <w:szCs w:val="22"/>
        </w:rPr>
        <w:tab/>
        <w:t>Discussion, Decision</w:t>
      </w:r>
    </w:p>
    <w:p w14:paraId="69D51123" w14:textId="77777777" w:rsidR="008879F0" w:rsidRDefault="008879F0" w:rsidP="008879F0">
      <w:pPr>
        <w:pStyle w:val="Heading1"/>
        <w:jc w:val="both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 w:rsidRPr="00BD4EB1">
        <w:rPr>
          <w:rFonts w:cs="Arial"/>
        </w:rPr>
        <w:t>Introduction</w:t>
      </w:r>
    </w:p>
    <w:p w14:paraId="769D4124" w14:textId="3BAC7275" w:rsidR="008879F0" w:rsidRDefault="008879F0" w:rsidP="002F7308">
      <w:pPr>
        <w:pStyle w:val="BodyText"/>
        <w:rPr>
          <w:rFonts w:eastAsiaTheme="minorHAnsi"/>
        </w:rPr>
      </w:pPr>
      <w:r>
        <w:rPr>
          <w:rFonts w:eastAsia="Yu Mincho"/>
          <w:lang w:val="en-GB"/>
        </w:rPr>
        <w:t xml:space="preserve">The discussion on enhanced support of reduced capability (eRedCap) devices WI </w:t>
      </w:r>
      <w:r>
        <w:rPr>
          <w:rFonts w:eastAsia="Yu Mincho"/>
        </w:rPr>
        <w:t>(</w:t>
      </w:r>
      <w:hyperlink r:id="rId11" w:history="1">
        <w:r w:rsidRPr="000C3FFB">
          <w:rPr>
            <w:rStyle w:val="Hyperlink"/>
            <w:rFonts w:eastAsia="Yu Mincho"/>
          </w:rPr>
          <w:t>RP-223544</w:t>
        </w:r>
      </w:hyperlink>
      <w:r w:rsidRPr="00436DB4">
        <w:rPr>
          <w:rFonts w:eastAsia="Yu Mincho"/>
          <w:lang w:val="en-GB"/>
        </w:rPr>
        <w:t>)</w:t>
      </w:r>
      <w:r w:rsidR="00B86997">
        <w:rPr>
          <w:rFonts w:eastAsia="Yu Mincho"/>
        </w:rPr>
        <w:t xml:space="preserve"> </w:t>
      </w:r>
      <w:r w:rsidR="00B86997" w:rsidRPr="00B86997">
        <w:rPr>
          <w:rFonts w:cs="Arial"/>
          <w:szCs w:val="20"/>
        </w:rPr>
        <w:fldChar w:fldCharType="begin"/>
      </w:r>
      <w:r w:rsidR="00B86997" w:rsidRPr="00B86997">
        <w:rPr>
          <w:rFonts w:cs="Arial"/>
          <w:szCs w:val="20"/>
        </w:rPr>
        <w:instrText xml:space="preserve"> REF _Ref71020817 \r \h  \* MERGEFORMAT </w:instrText>
      </w:r>
      <w:r w:rsidR="00B86997" w:rsidRPr="00B86997">
        <w:rPr>
          <w:rFonts w:cs="Arial"/>
          <w:szCs w:val="20"/>
        </w:rPr>
      </w:r>
      <w:r w:rsidR="00B86997" w:rsidRPr="00B86997">
        <w:rPr>
          <w:rFonts w:cs="Arial"/>
          <w:szCs w:val="20"/>
        </w:rPr>
        <w:fldChar w:fldCharType="separate"/>
      </w:r>
      <w:r w:rsidR="00B86997">
        <w:rPr>
          <w:rFonts w:cs="Arial"/>
          <w:szCs w:val="20"/>
        </w:rPr>
        <w:t>[</w:t>
      </w:r>
      <w:r w:rsidR="00B86997" w:rsidRPr="00B86997">
        <w:rPr>
          <w:rFonts w:cs="Arial"/>
          <w:szCs w:val="20"/>
        </w:rPr>
        <w:t>1</w:t>
      </w:r>
      <w:r w:rsidR="00B86997">
        <w:rPr>
          <w:rFonts w:cs="Arial"/>
          <w:szCs w:val="20"/>
        </w:rPr>
        <w:t>]</w:t>
      </w:r>
      <w:r w:rsidR="00B86997" w:rsidRPr="00B86997">
        <w:rPr>
          <w:rFonts w:cs="Arial"/>
          <w:szCs w:val="20"/>
        </w:rPr>
        <w:fldChar w:fldCharType="end"/>
      </w:r>
      <w:r w:rsidR="00B86997">
        <w:rPr>
          <w:rFonts w:cs="Arial"/>
          <w:szCs w:val="20"/>
        </w:rPr>
        <w:t xml:space="preserve"> </w:t>
      </w:r>
      <w:r>
        <w:rPr>
          <w:rFonts w:eastAsia="Yu Mincho"/>
          <w:lang w:val="en-GB"/>
        </w:rPr>
        <w:t xml:space="preserve">has started in </w:t>
      </w:r>
      <w:r w:rsidRPr="00436DB4">
        <w:rPr>
          <w:rFonts w:eastAsia="Yu Mincho"/>
          <w:lang w:val="en-GB"/>
        </w:rPr>
        <w:t xml:space="preserve">RAN2. </w:t>
      </w:r>
    </w:p>
    <w:p w14:paraId="318549F7" w14:textId="3E2E73B7" w:rsidR="00645504" w:rsidRPr="00645504" w:rsidRDefault="00141D14" w:rsidP="00645504">
      <w:pPr>
        <w:pStyle w:val="BodyText"/>
        <w:rPr>
          <w:rFonts w:eastAsiaTheme="minorEastAsia"/>
        </w:rPr>
      </w:pPr>
      <w:r>
        <w:rPr>
          <w:rFonts w:eastAsiaTheme="minorEastAsia"/>
        </w:rPr>
        <w:t xml:space="preserve">In </w:t>
      </w:r>
      <w:r w:rsidR="40A40A37" w:rsidRPr="6FD16BE4">
        <w:rPr>
          <w:rFonts w:eastAsiaTheme="minorEastAsia"/>
        </w:rPr>
        <w:t>RAN2</w:t>
      </w:r>
      <w:r>
        <w:rPr>
          <w:rFonts w:eastAsiaTheme="minorEastAsia"/>
        </w:rPr>
        <w:t>#121,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45504" w14:paraId="75A520E9" w14:textId="77777777" w:rsidTr="004F6F81">
        <w:tc>
          <w:tcPr>
            <w:tcW w:w="9629" w:type="dxa"/>
          </w:tcPr>
          <w:p w14:paraId="617353F5" w14:textId="32BE68C3" w:rsidR="00645504" w:rsidRDefault="00A9157A" w:rsidP="00645504">
            <w:pPr>
              <w:pStyle w:val="Agreement"/>
              <w:rPr>
                <w:b w:val="0"/>
                <w:bCs/>
                <w:szCs w:val="22"/>
                <w:lang w:eastAsia="ja-JP"/>
              </w:rPr>
            </w:pPr>
            <w:r w:rsidRPr="00A9157A">
              <w:rPr>
                <w:b w:val="0"/>
                <w:bCs/>
                <w:szCs w:val="22"/>
                <w:lang w:eastAsia="ja-JP"/>
              </w:rPr>
              <w:t>The NR MIB “</w:t>
            </w:r>
            <w:proofErr w:type="spellStart"/>
            <w:r w:rsidRPr="00A9157A">
              <w:rPr>
                <w:b w:val="0"/>
                <w:bCs/>
                <w:szCs w:val="22"/>
                <w:lang w:eastAsia="ja-JP"/>
              </w:rPr>
              <w:t>cellBarred</w:t>
            </w:r>
            <w:proofErr w:type="spellEnd"/>
            <w:r w:rsidRPr="00A9157A">
              <w:rPr>
                <w:b w:val="0"/>
                <w:bCs/>
                <w:szCs w:val="22"/>
                <w:lang w:eastAsia="ja-JP"/>
              </w:rPr>
              <w:t>” bit applies to all UEs (Normal UEs, Redcap UEs and eRedCap UEs).</w:t>
            </w:r>
          </w:p>
          <w:p w14:paraId="6E7E12D3" w14:textId="77777777" w:rsidR="00645504" w:rsidRPr="00882D12" w:rsidRDefault="00645504" w:rsidP="00A9157A">
            <w:pPr>
              <w:pStyle w:val="Doc-text2"/>
              <w:ind w:left="0" w:firstLine="0"/>
              <w:rPr>
                <w:lang w:val="en-GB" w:eastAsia="ja-JP"/>
              </w:rPr>
            </w:pPr>
          </w:p>
        </w:tc>
      </w:tr>
    </w:tbl>
    <w:p w14:paraId="09D905CE" w14:textId="4AE32A78" w:rsidR="008879F0" w:rsidRPr="0046335D" w:rsidRDefault="008879F0" w:rsidP="6FD16BE4">
      <w:pPr>
        <w:pStyle w:val="BodyText"/>
        <w:rPr>
          <w:rFonts w:eastAsiaTheme="minorEastAsia"/>
        </w:rPr>
      </w:pPr>
    </w:p>
    <w:p w14:paraId="63CDF11E" w14:textId="15AA9D08" w:rsidR="008879F0" w:rsidRPr="008879F0" w:rsidRDefault="008879F0" w:rsidP="008879F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ja-JP"/>
        </w:rPr>
      </w:pPr>
      <w:r w:rsidRPr="008879F0">
        <w:rPr>
          <w:rFonts w:ascii="Arial" w:eastAsia="Times New Roman" w:hAnsi="Arial" w:cs="Times New Roman"/>
          <w:sz w:val="36"/>
          <w:szCs w:val="20"/>
          <w:lang w:val="en-GB" w:eastAsia="ja-JP"/>
        </w:rPr>
        <w:t>2</w:t>
      </w:r>
      <w:r w:rsidRPr="008879F0">
        <w:rPr>
          <w:rFonts w:ascii="Arial" w:eastAsia="Times New Roman" w:hAnsi="Arial" w:cs="Times New Roman"/>
          <w:sz w:val="36"/>
          <w:szCs w:val="20"/>
          <w:lang w:val="en-GB" w:eastAsia="ja-JP"/>
        </w:rPr>
        <w:tab/>
      </w:r>
      <w:r w:rsidR="00953B12">
        <w:rPr>
          <w:rFonts w:ascii="Arial" w:eastAsia="Times New Roman" w:hAnsi="Arial" w:cs="Times New Roman"/>
          <w:sz w:val="36"/>
          <w:szCs w:val="20"/>
          <w:lang w:val="en-GB" w:eastAsia="ja-JP"/>
        </w:rPr>
        <w:t xml:space="preserve">Cell barring for </w:t>
      </w:r>
      <w:r w:rsidR="004216EE">
        <w:rPr>
          <w:rFonts w:ascii="Arial" w:eastAsia="Times New Roman" w:hAnsi="Arial" w:cs="Times New Roman"/>
          <w:sz w:val="36"/>
          <w:szCs w:val="20"/>
          <w:lang w:eastAsia="ja-JP"/>
        </w:rPr>
        <w:t>e</w:t>
      </w:r>
      <w:r w:rsidR="004216EE" w:rsidRPr="008879F0">
        <w:rPr>
          <w:rFonts w:ascii="Arial" w:eastAsia="Times New Roman" w:hAnsi="Arial" w:cs="Times New Roman"/>
          <w:sz w:val="36"/>
          <w:szCs w:val="20"/>
          <w:lang w:eastAsia="ja-JP"/>
        </w:rPr>
        <w:t>RedCap UEs</w:t>
      </w:r>
    </w:p>
    <w:p w14:paraId="4C7680AD" w14:textId="4449BFA5" w:rsidR="00B076FD" w:rsidRDefault="003401D8" w:rsidP="00891917">
      <w:p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</w:rPr>
        <w:t xml:space="preserve">Network controls </w:t>
      </w:r>
      <w:r w:rsidR="00257975">
        <w:rPr>
          <w:rFonts w:ascii="Arial" w:hAnsi="Arial" w:cs="Arial"/>
          <w:sz w:val="20"/>
          <w:szCs w:val="20"/>
        </w:rPr>
        <w:t xml:space="preserve">the access for </w:t>
      </w:r>
      <w:r w:rsidR="00CA2932">
        <w:rPr>
          <w:rFonts w:ascii="Arial" w:hAnsi="Arial" w:cs="Arial"/>
          <w:sz w:val="20"/>
          <w:szCs w:val="20"/>
        </w:rPr>
        <w:t>Rel-17</w:t>
      </w:r>
      <w:r>
        <w:rPr>
          <w:rFonts w:ascii="Arial" w:hAnsi="Arial" w:cs="Arial"/>
          <w:sz w:val="20"/>
          <w:szCs w:val="20"/>
        </w:rPr>
        <w:t xml:space="preserve"> RedCap UEs</w:t>
      </w:r>
      <w:r w:rsidR="0081581F">
        <w:rPr>
          <w:rFonts w:ascii="Arial" w:hAnsi="Arial" w:cs="Arial"/>
          <w:sz w:val="20"/>
          <w:szCs w:val="20"/>
        </w:rPr>
        <w:t xml:space="preserve"> with respect to whether there is support for 1Rx, 2Rx</w:t>
      </w:r>
      <w:r w:rsidR="009E0A1B">
        <w:rPr>
          <w:rFonts w:ascii="Arial" w:hAnsi="Arial" w:cs="Arial"/>
          <w:sz w:val="20"/>
          <w:szCs w:val="20"/>
        </w:rPr>
        <w:t>,</w:t>
      </w:r>
      <w:r w:rsidR="0081581F">
        <w:rPr>
          <w:rFonts w:ascii="Arial" w:hAnsi="Arial" w:cs="Arial"/>
          <w:sz w:val="20"/>
          <w:szCs w:val="20"/>
        </w:rPr>
        <w:t xml:space="preserve"> HD-FDD</w:t>
      </w:r>
      <w:r w:rsidR="009E0A1B">
        <w:rPr>
          <w:rFonts w:ascii="Arial" w:hAnsi="Arial" w:cs="Arial"/>
          <w:sz w:val="20"/>
          <w:szCs w:val="20"/>
        </w:rPr>
        <w:t xml:space="preserve">. The IE </w:t>
      </w:r>
      <w:r w:rsidR="009E0A1B" w:rsidRPr="00B076FD">
        <w:rPr>
          <w:rFonts w:ascii="Arial" w:hAnsi="Arial" w:cs="Arial"/>
          <w:i/>
          <w:iCs/>
          <w:sz w:val="20"/>
          <w:szCs w:val="20"/>
          <w:lang w:val="en-GB"/>
        </w:rPr>
        <w:t>intraFreqReselectionRedCap-r17</w:t>
      </w:r>
      <w:r w:rsidR="009E0A1B" w:rsidRPr="00B076FD">
        <w:rPr>
          <w:rFonts w:ascii="Arial" w:hAnsi="Arial" w:cs="Arial"/>
          <w:sz w:val="20"/>
          <w:szCs w:val="20"/>
          <w:lang w:val="en-GB"/>
        </w:rPr>
        <w:t xml:space="preserve"> </w:t>
      </w:r>
      <w:r w:rsidR="009E0A1B">
        <w:rPr>
          <w:rFonts w:ascii="Arial" w:hAnsi="Arial" w:cs="Arial"/>
          <w:sz w:val="20"/>
          <w:szCs w:val="20"/>
          <w:lang w:val="en-GB"/>
        </w:rPr>
        <w:t xml:space="preserve">was introduced to provide a higher level of control </w:t>
      </w:r>
      <w:r w:rsidR="002F62BA">
        <w:rPr>
          <w:rFonts w:ascii="Arial" w:hAnsi="Arial" w:cs="Arial"/>
          <w:sz w:val="20"/>
          <w:szCs w:val="20"/>
          <w:lang w:val="en-GB"/>
        </w:rPr>
        <w:t xml:space="preserve">access to the cell for </w:t>
      </w:r>
      <w:r w:rsidR="009E0A1B" w:rsidRPr="00B076FD">
        <w:rPr>
          <w:rFonts w:ascii="Arial" w:hAnsi="Arial" w:cs="Arial"/>
          <w:sz w:val="20"/>
          <w:szCs w:val="20"/>
          <w:lang w:val="en-GB"/>
        </w:rPr>
        <w:t>R</w:t>
      </w:r>
      <w:r w:rsidR="002F62BA">
        <w:rPr>
          <w:rFonts w:ascii="Arial" w:hAnsi="Arial" w:cs="Arial"/>
          <w:sz w:val="20"/>
          <w:szCs w:val="20"/>
          <w:lang w:val="en-GB"/>
        </w:rPr>
        <w:t>el-</w:t>
      </w:r>
      <w:r w:rsidR="009E0A1B" w:rsidRPr="00B076FD">
        <w:rPr>
          <w:rFonts w:ascii="Arial" w:hAnsi="Arial" w:cs="Arial"/>
          <w:sz w:val="20"/>
          <w:szCs w:val="20"/>
          <w:lang w:val="en-GB"/>
        </w:rPr>
        <w:t>17 RedCap device</w:t>
      </w:r>
      <w:r w:rsidR="002F62BA">
        <w:rPr>
          <w:rFonts w:ascii="Arial" w:hAnsi="Arial" w:cs="Arial"/>
          <w:sz w:val="20"/>
          <w:szCs w:val="20"/>
          <w:lang w:val="en-GB"/>
        </w:rPr>
        <w:t>s</w:t>
      </w:r>
      <w:r w:rsidR="009E0A1B" w:rsidRPr="00B076FD">
        <w:rPr>
          <w:rFonts w:ascii="Arial" w:hAnsi="Arial" w:cs="Arial"/>
          <w:sz w:val="20"/>
          <w:szCs w:val="20"/>
          <w:lang w:val="en-GB"/>
        </w:rPr>
        <w:t>.</w:t>
      </w:r>
    </w:p>
    <w:p w14:paraId="5028378C" w14:textId="6487AC64" w:rsidR="00891917" w:rsidRDefault="00A26C6F" w:rsidP="00891917">
      <w:p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Rel-18 </w:t>
      </w:r>
      <w:r w:rsidR="004A1DEB">
        <w:rPr>
          <w:rFonts w:ascii="Arial" w:hAnsi="Arial" w:cs="Arial"/>
          <w:sz w:val="20"/>
          <w:szCs w:val="20"/>
          <w:lang w:val="en-GB"/>
        </w:rPr>
        <w:t>e</w:t>
      </w:r>
      <w:r>
        <w:rPr>
          <w:rFonts w:ascii="Arial" w:hAnsi="Arial" w:cs="Arial"/>
          <w:sz w:val="20"/>
          <w:szCs w:val="20"/>
          <w:lang w:val="en-GB"/>
        </w:rPr>
        <w:t xml:space="preserve">RedCap devices </w:t>
      </w:r>
      <w:r w:rsidR="004A1DEB">
        <w:rPr>
          <w:rFonts w:ascii="Arial" w:hAnsi="Arial" w:cs="Arial"/>
          <w:sz w:val="20"/>
          <w:szCs w:val="20"/>
          <w:lang w:val="en-GB"/>
        </w:rPr>
        <w:t xml:space="preserve">can be considered as RedCap devices </w:t>
      </w:r>
      <w:r w:rsidR="005A3463">
        <w:rPr>
          <w:rFonts w:ascii="Arial" w:hAnsi="Arial" w:cs="Arial"/>
          <w:sz w:val="20"/>
          <w:szCs w:val="20"/>
          <w:lang w:val="en-GB"/>
        </w:rPr>
        <w:t>with limitations in baseband processing, i.e., 5</w:t>
      </w:r>
      <w:r w:rsidR="00891917">
        <w:rPr>
          <w:rFonts w:ascii="Arial" w:hAnsi="Arial" w:cs="Arial"/>
          <w:sz w:val="20"/>
          <w:szCs w:val="20"/>
          <w:lang w:val="en-GB"/>
        </w:rPr>
        <w:t xml:space="preserve"> MHz vs 20 MHz, so </w:t>
      </w:r>
      <w:r w:rsidR="00085D87">
        <w:rPr>
          <w:rFonts w:ascii="Arial" w:hAnsi="Arial" w:cs="Arial"/>
          <w:sz w:val="20"/>
          <w:szCs w:val="20"/>
          <w:lang w:val="en-GB"/>
        </w:rPr>
        <w:t xml:space="preserve">one can consider </w:t>
      </w:r>
      <w:r w:rsidR="00351412">
        <w:rPr>
          <w:rFonts w:ascii="Arial" w:hAnsi="Arial" w:cs="Arial"/>
          <w:sz w:val="20"/>
          <w:szCs w:val="20"/>
          <w:lang w:val="en-GB"/>
        </w:rPr>
        <w:t xml:space="preserve">using the </w:t>
      </w:r>
      <w:r w:rsidR="00085D87">
        <w:rPr>
          <w:rFonts w:ascii="Arial" w:hAnsi="Arial" w:cs="Arial"/>
          <w:sz w:val="20"/>
          <w:szCs w:val="20"/>
          <w:lang w:val="en-GB"/>
        </w:rPr>
        <w:t xml:space="preserve">parameters introduced for </w:t>
      </w:r>
      <w:r w:rsidR="006E5A4E">
        <w:rPr>
          <w:rFonts w:ascii="Arial" w:hAnsi="Arial" w:cs="Arial"/>
          <w:sz w:val="20"/>
          <w:szCs w:val="20"/>
          <w:lang w:val="en-GB"/>
        </w:rPr>
        <w:t xml:space="preserve">Rel-17 RedCap UEs </w:t>
      </w:r>
      <w:r w:rsidR="00A578A5">
        <w:rPr>
          <w:rFonts w:ascii="Arial" w:hAnsi="Arial" w:cs="Arial"/>
          <w:sz w:val="20"/>
          <w:szCs w:val="20"/>
          <w:lang w:val="en-GB"/>
        </w:rPr>
        <w:t xml:space="preserve">for network </w:t>
      </w:r>
      <w:r w:rsidR="006E5A4E">
        <w:rPr>
          <w:rFonts w:ascii="Arial" w:hAnsi="Arial" w:cs="Arial"/>
          <w:sz w:val="20"/>
          <w:szCs w:val="20"/>
          <w:lang w:val="en-GB"/>
        </w:rPr>
        <w:t>access</w:t>
      </w:r>
      <w:r w:rsidR="00EF258A">
        <w:rPr>
          <w:rFonts w:ascii="Arial" w:hAnsi="Arial" w:cs="Arial"/>
          <w:sz w:val="20"/>
          <w:szCs w:val="20"/>
          <w:lang w:val="en-GB"/>
        </w:rPr>
        <w:t>, i.e.,</w:t>
      </w:r>
      <w:r w:rsidR="006E5A4E">
        <w:rPr>
          <w:rFonts w:ascii="Arial" w:hAnsi="Arial" w:cs="Arial"/>
          <w:sz w:val="20"/>
          <w:szCs w:val="20"/>
          <w:lang w:val="en-GB"/>
        </w:rPr>
        <w:t xml:space="preserve"> </w:t>
      </w:r>
      <w:r w:rsidR="00A578A5">
        <w:rPr>
          <w:rFonts w:ascii="Arial" w:hAnsi="Arial" w:cs="Arial"/>
          <w:sz w:val="20"/>
          <w:szCs w:val="20"/>
          <w:lang w:val="en-GB"/>
        </w:rPr>
        <w:t>with respect to the support for 1Rx, 2Rx, or H</w:t>
      </w:r>
      <w:r w:rsidR="00EF258A">
        <w:rPr>
          <w:rFonts w:ascii="Arial" w:hAnsi="Arial" w:cs="Arial"/>
          <w:sz w:val="20"/>
          <w:szCs w:val="20"/>
          <w:lang w:val="en-GB"/>
        </w:rPr>
        <w:t>D</w:t>
      </w:r>
      <w:r w:rsidR="00A578A5">
        <w:rPr>
          <w:rFonts w:ascii="Arial" w:hAnsi="Arial" w:cs="Arial"/>
          <w:sz w:val="20"/>
          <w:szCs w:val="20"/>
          <w:lang w:val="en-GB"/>
        </w:rPr>
        <w:t>-FDD</w:t>
      </w:r>
      <w:r w:rsidR="00EF258A">
        <w:rPr>
          <w:rFonts w:ascii="Arial" w:hAnsi="Arial" w:cs="Arial"/>
          <w:sz w:val="20"/>
          <w:szCs w:val="20"/>
          <w:lang w:val="en-GB"/>
        </w:rPr>
        <w:t>, for Rel-18 eRedCap UEs.</w:t>
      </w:r>
      <w:r w:rsidR="0056643E">
        <w:rPr>
          <w:rFonts w:ascii="Arial" w:hAnsi="Arial" w:cs="Arial"/>
          <w:sz w:val="20"/>
          <w:szCs w:val="20"/>
          <w:lang w:val="en-GB"/>
        </w:rPr>
        <w:t xml:space="preserve"> Therefore, we propose the following</w:t>
      </w:r>
    </w:p>
    <w:p w14:paraId="6C65D8BF" w14:textId="77777777" w:rsidR="00246CED" w:rsidRPr="00272A04" w:rsidRDefault="00246CED" w:rsidP="00246CED">
      <w:pPr>
        <w:jc w:val="both"/>
        <w:rPr>
          <w:rFonts w:ascii="Arial" w:hAnsi="Arial" w:cs="Arial"/>
          <w:sz w:val="20"/>
          <w:szCs w:val="20"/>
        </w:rPr>
      </w:pPr>
    </w:p>
    <w:p w14:paraId="1A38F832" w14:textId="3E13456C" w:rsidR="00246CED" w:rsidRPr="00272A04" w:rsidRDefault="00067B5C" w:rsidP="00246CED">
      <w:pPr>
        <w:pStyle w:val="Proposal"/>
      </w:pPr>
      <w:bookmarkStart w:id="0" w:name="_Toc131761140"/>
      <w:r>
        <w:t>Cell barring parameters</w:t>
      </w:r>
      <w:r w:rsidR="003C49F8">
        <w:t xml:space="preserve">, i.e., </w:t>
      </w:r>
      <w:r w:rsidR="003C49F8" w:rsidRPr="00F10B4F">
        <w:rPr>
          <w:i/>
          <w:iCs/>
        </w:rPr>
        <w:t>cellBarredRedCap1Rx</w:t>
      </w:r>
      <w:r w:rsidR="003C49F8">
        <w:rPr>
          <w:i/>
          <w:iCs/>
        </w:rPr>
        <w:t xml:space="preserve">, </w:t>
      </w:r>
      <w:r w:rsidR="003C49F8" w:rsidRPr="00F10B4F">
        <w:rPr>
          <w:i/>
          <w:iCs/>
        </w:rPr>
        <w:t>cellBarredRedCap</w:t>
      </w:r>
      <w:r w:rsidR="003C49F8">
        <w:rPr>
          <w:i/>
          <w:iCs/>
        </w:rPr>
        <w:t>2</w:t>
      </w:r>
      <w:r w:rsidR="003C49F8" w:rsidRPr="00F10B4F">
        <w:rPr>
          <w:i/>
          <w:iCs/>
        </w:rPr>
        <w:t>Rx</w:t>
      </w:r>
      <w:r w:rsidR="003C49F8">
        <w:rPr>
          <w:i/>
          <w:iCs/>
        </w:rPr>
        <w:t>,</w:t>
      </w:r>
      <w:r w:rsidR="003C49F8">
        <w:t xml:space="preserve"> and </w:t>
      </w:r>
      <w:proofErr w:type="spellStart"/>
      <w:r w:rsidR="005542B5" w:rsidRPr="00F10B4F">
        <w:rPr>
          <w:i/>
        </w:rPr>
        <w:t>halfDuplexRedCapAllowed</w:t>
      </w:r>
      <w:proofErr w:type="spellEnd"/>
      <w:r w:rsidR="00431492">
        <w:t>,</w:t>
      </w:r>
      <w:r>
        <w:t xml:space="preserve"> introduced for Rel-17 RedCap UEs are used for Rel</w:t>
      </w:r>
      <w:r w:rsidR="00B530FC">
        <w:t>-</w:t>
      </w:r>
      <w:r>
        <w:t>18 RedCap UEs</w:t>
      </w:r>
      <w:r w:rsidR="005542B5">
        <w:t>.</w:t>
      </w:r>
      <w:bookmarkEnd w:id="0"/>
      <w:r w:rsidR="00246CED">
        <w:t xml:space="preserve"> </w:t>
      </w:r>
    </w:p>
    <w:p w14:paraId="169663B8" w14:textId="77777777" w:rsidR="00246CED" w:rsidRPr="0002477D" w:rsidRDefault="00246CED" w:rsidP="000774D0">
      <w:pPr>
        <w:pStyle w:val="Proposal"/>
        <w:numPr>
          <w:ilvl w:val="0"/>
          <w:numId w:val="0"/>
        </w:numPr>
        <w:ind w:left="1304" w:hanging="1304"/>
        <w:rPr>
          <w:rFonts w:cs="Arial"/>
          <w:b w:val="0"/>
          <w:bCs w:val="0"/>
          <w:szCs w:val="20"/>
        </w:rPr>
      </w:pPr>
    </w:p>
    <w:p w14:paraId="03926EED" w14:textId="6F457B77" w:rsidR="00D119EB" w:rsidRDefault="00D119EB" w:rsidP="000774D0">
      <w:pPr>
        <w:jc w:val="both"/>
        <w:rPr>
          <w:rFonts w:ascii="Arial" w:hAnsi="Arial" w:cs="Arial"/>
          <w:sz w:val="20"/>
          <w:szCs w:val="20"/>
        </w:rPr>
      </w:pPr>
      <w:r w:rsidRPr="0002477D">
        <w:rPr>
          <w:rFonts w:ascii="Arial" w:hAnsi="Arial" w:cs="Arial"/>
          <w:sz w:val="20"/>
          <w:szCs w:val="20"/>
        </w:rPr>
        <w:t xml:space="preserve">For cell access parameters </w:t>
      </w:r>
      <w:r w:rsidR="0002477D" w:rsidRPr="0002477D">
        <w:rPr>
          <w:rFonts w:ascii="Arial" w:hAnsi="Arial" w:cs="Arial"/>
          <w:sz w:val="20"/>
          <w:szCs w:val="20"/>
        </w:rPr>
        <w:t xml:space="preserve">it </w:t>
      </w:r>
      <w:r w:rsidRPr="0002477D">
        <w:rPr>
          <w:rFonts w:ascii="Arial" w:hAnsi="Arial" w:cs="Arial"/>
          <w:sz w:val="20"/>
          <w:szCs w:val="20"/>
        </w:rPr>
        <w:t xml:space="preserve">should be up to the NW to decide. </w:t>
      </w:r>
      <w:r w:rsidR="0002477D" w:rsidRPr="0002477D">
        <w:rPr>
          <w:rFonts w:ascii="Arial" w:hAnsi="Arial" w:cs="Arial"/>
          <w:sz w:val="20"/>
          <w:szCs w:val="20"/>
        </w:rPr>
        <w:t>So</w:t>
      </w:r>
      <w:r w:rsidR="0002477D">
        <w:rPr>
          <w:rFonts w:ascii="Arial" w:hAnsi="Arial" w:cs="Arial"/>
          <w:sz w:val="20"/>
          <w:szCs w:val="20"/>
        </w:rPr>
        <w:t>,</w:t>
      </w:r>
      <w:r w:rsidR="0002477D" w:rsidRPr="0002477D">
        <w:rPr>
          <w:rFonts w:ascii="Arial" w:hAnsi="Arial" w:cs="Arial"/>
          <w:sz w:val="20"/>
          <w:szCs w:val="20"/>
        </w:rPr>
        <w:t xml:space="preserve"> i</w:t>
      </w:r>
      <w:r w:rsidRPr="0002477D">
        <w:rPr>
          <w:rFonts w:ascii="Arial" w:hAnsi="Arial" w:cs="Arial"/>
          <w:sz w:val="20"/>
          <w:szCs w:val="20"/>
        </w:rPr>
        <w:t>t should be possible for the NW to support Rel-18 RedCap but not Rel-17 RedCap</w:t>
      </w:r>
      <w:r w:rsidR="000774D0">
        <w:rPr>
          <w:rFonts w:ascii="Arial" w:hAnsi="Arial" w:cs="Arial"/>
          <w:sz w:val="20"/>
          <w:szCs w:val="20"/>
        </w:rPr>
        <w:t xml:space="preserve"> in the serving cell.</w:t>
      </w:r>
    </w:p>
    <w:p w14:paraId="4749EA56" w14:textId="77777777" w:rsidR="00930569" w:rsidRPr="00272A04" w:rsidRDefault="00930569" w:rsidP="00930569">
      <w:pPr>
        <w:jc w:val="both"/>
        <w:rPr>
          <w:rFonts w:ascii="Arial" w:hAnsi="Arial" w:cs="Arial"/>
          <w:sz w:val="20"/>
          <w:szCs w:val="20"/>
        </w:rPr>
      </w:pPr>
    </w:p>
    <w:p w14:paraId="79AFC7C5" w14:textId="23A93A35" w:rsidR="00930569" w:rsidRPr="00272A04" w:rsidRDefault="00930569" w:rsidP="00930569">
      <w:pPr>
        <w:pStyle w:val="Proposal"/>
      </w:pPr>
      <w:bookmarkStart w:id="1" w:name="_Toc131761141"/>
      <w:r>
        <w:t xml:space="preserve">It should </w:t>
      </w:r>
      <w:r w:rsidRPr="0002477D">
        <w:rPr>
          <w:rFonts w:cs="Arial"/>
          <w:szCs w:val="20"/>
        </w:rPr>
        <w:t>be possible for the NW to support Rel-18 RedCap but not Rel-17 RedCap</w:t>
      </w:r>
      <w:r>
        <w:rPr>
          <w:rFonts w:cs="Arial"/>
          <w:szCs w:val="20"/>
        </w:rPr>
        <w:t xml:space="preserve"> in the serving cell</w:t>
      </w:r>
      <w:r w:rsidR="000E69A5">
        <w:rPr>
          <w:rFonts w:cs="Arial"/>
          <w:szCs w:val="20"/>
        </w:rPr>
        <w:t>.</w:t>
      </w:r>
      <w:bookmarkEnd w:id="1"/>
      <w:r>
        <w:t xml:space="preserve"> </w:t>
      </w:r>
    </w:p>
    <w:p w14:paraId="678FCB4C" w14:textId="77777777" w:rsidR="00930569" w:rsidRPr="0002477D" w:rsidRDefault="00930569" w:rsidP="00930569">
      <w:pPr>
        <w:pStyle w:val="Proposal"/>
        <w:numPr>
          <w:ilvl w:val="0"/>
          <w:numId w:val="0"/>
        </w:numPr>
        <w:ind w:left="1304" w:hanging="1304"/>
        <w:rPr>
          <w:rFonts w:cs="Arial"/>
          <w:b w:val="0"/>
          <w:bCs w:val="0"/>
          <w:szCs w:val="20"/>
        </w:rPr>
      </w:pPr>
    </w:p>
    <w:p w14:paraId="77F50083" w14:textId="6DA4ACB5" w:rsidR="000774D0" w:rsidRPr="0002477D" w:rsidRDefault="00CA6861" w:rsidP="000774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One can then discuss whether there is a need to </w:t>
      </w:r>
      <w:r w:rsidR="00A236BF">
        <w:rPr>
          <w:rFonts w:ascii="Arial" w:hAnsi="Arial" w:cs="Arial"/>
          <w:sz w:val="20"/>
          <w:szCs w:val="20"/>
        </w:rPr>
        <w:t>have an indication for neighbor cells on whether Rel-18 eRedCap UEs can access the cell.</w:t>
      </w:r>
    </w:p>
    <w:p w14:paraId="293345E9" w14:textId="77777777" w:rsidR="00405EE8" w:rsidRPr="00272A04" w:rsidRDefault="00405EE8" w:rsidP="00405EE8">
      <w:pPr>
        <w:jc w:val="both"/>
        <w:rPr>
          <w:rFonts w:ascii="Arial" w:hAnsi="Arial" w:cs="Arial"/>
          <w:sz w:val="20"/>
          <w:szCs w:val="20"/>
        </w:rPr>
      </w:pPr>
    </w:p>
    <w:p w14:paraId="2F0DD5DA" w14:textId="3C3C0E67" w:rsidR="00405EE8" w:rsidRPr="00272A04" w:rsidRDefault="00405EE8" w:rsidP="00405EE8">
      <w:pPr>
        <w:pStyle w:val="Proposal"/>
      </w:pPr>
      <w:bookmarkStart w:id="2" w:name="_Toc131761142"/>
      <w:r>
        <w:lastRenderedPageBreak/>
        <w:t xml:space="preserve">Discuss </w:t>
      </w:r>
      <w:r w:rsidR="00955BE6">
        <w:t xml:space="preserve">if </w:t>
      </w:r>
      <w:r>
        <w:rPr>
          <w:rFonts w:cs="Arial"/>
          <w:szCs w:val="20"/>
        </w:rPr>
        <w:t>there is a need to have an indication for neighbor cells on whether Rel-18 eRedCap UEs can access the cell.</w:t>
      </w:r>
      <w:bookmarkEnd w:id="2"/>
      <w:r>
        <w:t xml:space="preserve"> </w:t>
      </w:r>
    </w:p>
    <w:p w14:paraId="7A84CA09" w14:textId="77777777" w:rsidR="00272A04" w:rsidRPr="000779D3" w:rsidRDefault="00272A04" w:rsidP="00272A04">
      <w:pPr>
        <w:pStyle w:val="Proposal"/>
        <w:numPr>
          <w:ilvl w:val="0"/>
          <w:numId w:val="0"/>
        </w:numPr>
        <w:ind w:left="1304" w:hanging="1304"/>
      </w:pPr>
    </w:p>
    <w:p w14:paraId="7069DC52" w14:textId="3C507FD4" w:rsidR="00272A04" w:rsidRPr="00AA3123" w:rsidRDefault="00201D28" w:rsidP="00272A04">
      <w:pPr>
        <w:pStyle w:val="Heading1"/>
        <w:rPr>
          <w:lang w:val="en-US"/>
        </w:rPr>
      </w:pPr>
      <w:r>
        <w:rPr>
          <w:lang w:val="en-US"/>
        </w:rPr>
        <w:t>3</w:t>
      </w:r>
      <w:r w:rsidR="00272A04" w:rsidRPr="00AA3123">
        <w:rPr>
          <w:lang w:val="en-US"/>
        </w:rPr>
        <w:tab/>
        <w:t>Conclusion</w:t>
      </w:r>
    </w:p>
    <w:p w14:paraId="406B7FB3" w14:textId="251A936E" w:rsidR="00672EB3" w:rsidRDefault="00272A04" w:rsidP="00D03B31">
      <w:pPr>
        <w:pStyle w:val="BodyText"/>
        <w:rPr>
          <w:b/>
          <w:bCs/>
        </w:rPr>
      </w:pPr>
      <w:r>
        <w:t xml:space="preserve">Based on the discussion in the </w:t>
      </w:r>
      <w:r w:rsidR="00201D28">
        <w:t>section above</w:t>
      </w:r>
      <w:r>
        <w:t>,</w:t>
      </w:r>
      <w:r w:rsidRPr="00CE0424">
        <w:t xml:space="preserve"> we </w:t>
      </w:r>
      <w:r>
        <w:t>propose the following</w:t>
      </w:r>
      <w:r w:rsidRPr="00CE0424">
        <w:t>:</w:t>
      </w:r>
      <w:r>
        <w:rPr>
          <w:b/>
          <w:bCs/>
        </w:rPr>
        <w:t xml:space="preserve"> </w:t>
      </w:r>
    </w:p>
    <w:p w14:paraId="07969CBC" w14:textId="77777777" w:rsidR="00B1513A" w:rsidRPr="00B1513A" w:rsidRDefault="00B1513A" w:rsidP="00D03B31">
      <w:pPr>
        <w:pStyle w:val="BodyText"/>
        <w:rPr>
          <w:b/>
          <w:bCs/>
        </w:rPr>
      </w:pPr>
    </w:p>
    <w:p w14:paraId="233C4A30" w14:textId="3F60A3B7" w:rsidR="00D03B31" w:rsidRDefault="00672EB3" w:rsidP="00D03B31">
      <w:pPr>
        <w:pStyle w:val="TableofFigures"/>
        <w:tabs>
          <w:tab w:val="right" w:leader="dot" w:pos="9016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31761140" w:history="1">
        <w:r w:rsidR="00D03B31" w:rsidRPr="003B0720">
          <w:rPr>
            <w:rStyle w:val="Hyperlink"/>
            <w:noProof/>
          </w:rPr>
          <w:t>Proposal 1</w:t>
        </w:r>
        <w:r w:rsidR="00D03B3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D03B31" w:rsidRPr="003B0720">
          <w:rPr>
            <w:rStyle w:val="Hyperlink"/>
            <w:noProof/>
          </w:rPr>
          <w:t xml:space="preserve">Cell barring parameters, i.e., </w:t>
        </w:r>
        <w:r w:rsidR="00D03B31" w:rsidRPr="003B0720">
          <w:rPr>
            <w:rStyle w:val="Hyperlink"/>
            <w:i/>
            <w:iCs/>
            <w:noProof/>
          </w:rPr>
          <w:t>cellBarredRedCap1Rx, cellBarredRedCap2Rx,</w:t>
        </w:r>
        <w:r w:rsidR="00D03B31" w:rsidRPr="003B0720">
          <w:rPr>
            <w:rStyle w:val="Hyperlink"/>
            <w:noProof/>
          </w:rPr>
          <w:t xml:space="preserve"> and </w:t>
        </w:r>
        <w:r w:rsidR="00D03B31" w:rsidRPr="003B0720">
          <w:rPr>
            <w:rStyle w:val="Hyperlink"/>
            <w:i/>
            <w:noProof/>
          </w:rPr>
          <w:t>halfDuplexRedCapAllowed</w:t>
        </w:r>
        <w:r w:rsidR="00D03B31" w:rsidRPr="003B0720">
          <w:rPr>
            <w:rStyle w:val="Hyperlink"/>
            <w:noProof/>
          </w:rPr>
          <w:t>, introduced for Rel-17 RedCap UEs are used for Rel-18 RedCap UEs.</w:t>
        </w:r>
      </w:hyperlink>
    </w:p>
    <w:p w14:paraId="5AF6E854" w14:textId="2D2A0F62" w:rsidR="00D03B31" w:rsidRDefault="00C5572B" w:rsidP="00D03B31">
      <w:pPr>
        <w:pStyle w:val="TableofFigures"/>
        <w:tabs>
          <w:tab w:val="right" w:leader="dot" w:pos="9016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1761141" w:history="1">
        <w:r w:rsidR="00D03B31" w:rsidRPr="003B0720">
          <w:rPr>
            <w:rStyle w:val="Hyperlink"/>
            <w:noProof/>
          </w:rPr>
          <w:t>Proposal 2</w:t>
        </w:r>
        <w:r w:rsidR="00D03B3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D03B31" w:rsidRPr="003B0720">
          <w:rPr>
            <w:rStyle w:val="Hyperlink"/>
            <w:noProof/>
          </w:rPr>
          <w:t xml:space="preserve">It should </w:t>
        </w:r>
        <w:r w:rsidR="00D03B31" w:rsidRPr="003B0720">
          <w:rPr>
            <w:rStyle w:val="Hyperlink"/>
            <w:rFonts w:cs="Arial"/>
            <w:noProof/>
          </w:rPr>
          <w:t>be possible for the NW to support Rel-18 RedCap but not Rel-17 RedCap in the serving cell.</w:t>
        </w:r>
      </w:hyperlink>
    </w:p>
    <w:p w14:paraId="4D3BD700" w14:textId="3B90AF20" w:rsidR="00D03B31" w:rsidRDefault="00C5572B" w:rsidP="00D03B31">
      <w:pPr>
        <w:pStyle w:val="TableofFigures"/>
        <w:tabs>
          <w:tab w:val="right" w:leader="dot" w:pos="9016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1761142" w:history="1">
        <w:r w:rsidR="00D03B31" w:rsidRPr="003B0720">
          <w:rPr>
            <w:rStyle w:val="Hyperlink"/>
            <w:noProof/>
          </w:rPr>
          <w:t>Proposal 3</w:t>
        </w:r>
        <w:r w:rsidR="00D03B3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D03B31" w:rsidRPr="003B0720">
          <w:rPr>
            <w:rStyle w:val="Hyperlink"/>
            <w:noProof/>
          </w:rPr>
          <w:t xml:space="preserve">Discuss if </w:t>
        </w:r>
        <w:r w:rsidR="00D03B31" w:rsidRPr="003B0720">
          <w:rPr>
            <w:rStyle w:val="Hyperlink"/>
            <w:rFonts w:cs="Arial"/>
            <w:noProof/>
          </w:rPr>
          <w:t>there is a need to have an indication for neighbor cells on whether Rel-18 eRedCap UEs can access the cell.</w:t>
        </w:r>
      </w:hyperlink>
    </w:p>
    <w:p w14:paraId="5D4C5C64" w14:textId="0BB3F7D7" w:rsidR="005779FC" w:rsidRPr="00B1513A" w:rsidRDefault="00672EB3" w:rsidP="00D03B31">
      <w:pPr>
        <w:pStyle w:val="TableofFigures"/>
        <w:tabs>
          <w:tab w:val="right" w:leader="dot" w:pos="9016"/>
        </w:tabs>
        <w:jc w:val="both"/>
        <w:rPr>
          <w:b w:val="0"/>
          <w:bCs/>
          <w:lang w:val="en-US"/>
        </w:rPr>
      </w:pPr>
      <w:r>
        <w:rPr>
          <w:b w:val="0"/>
          <w:bCs/>
          <w:lang w:val="en-US"/>
        </w:rPr>
        <w:fldChar w:fldCharType="end"/>
      </w:r>
    </w:p>
    <w:p w14:paraId="01BC9949" w14:textId="2221D44E" w:rsidR="00F72D8F" w:rsidRPr="00CE0424" w:rsidRDefault="00F72D8F" w:rsidP="00F72D8F">
      <w:pPr>
        <w:pStyle w:val="Heading1"/>
      </w:pPr>
      <w:r w:rsidRPr="00CE0424">
        <w:t>References</w:t>
      </w:r>
      <w:bookmarkStart w:id="3" w:name="_Ref71566419"/>
      <w:bookmarkStart w:id="4" w:name="_Ref71020817"/>
    </w:p>
    <w:p w14:paraId="496E9B06" w14:textId="579DA77D" w:rsidR="00920D7F" w:rsidRPr="00F72D8F" w:rsidRDefault="00C5572B" w:rsidP="00F72D8F">
      <w:pPr>
        <w:pStyle w:val="Reference"/>
        <w:overflowPunct/>
        <w:autoSpaceDE/>
        <w:autoSpaceDN/>
        <w:adjustRightInd/>
        <w:spacing w:line="259" w:lineRule="auto"/>
        <w:jc w:val="left"/>
        <w:textAlignment w:val="auto"/>
      </w:pPr>
      <w:hyperlink r:id="rId12" w:history="1">
        <w:r w:rsidR="00B86997" w:rsidRPr="007E1470">
          <w:rPr>
            <w:rStyle w:val="Hyperlink"/>
          </w:rPr>
          <w:t>RP-223544</w:t>
        </w:r>
      </w:hyperlink>
      <w:r w:rsidR="00B86997">
        <w:t xml:space="preserve"> </w:t>
      </w:r>
      <w:bookmarkEnd w:id="3"/>
      <w:r w:rsidR="00F72D8F" w:rsidRPr="00F72D8F">
        <w:t>“Revised WID on Enhanced support of reduced capability NR devices”, RAN#98e, Online, Dec 2022.</w:t>
      </w:r>
      <w:bookmarkEnd w:id="4"/>
    </w:p>
    <w:sectPr w:rsidR="00920D7F" w:rsidRPr="00F72D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2619B" w14:textId="77777777" w:rsidR="002F1979" w:rsidRDefault="002F1979" w:rsidP="00E6173C">
      <w:pPr>
        <w:spacing w:after="0" w:line="240" w:lineRule="auto"/>
      </w:pPr>
      <w:r>
        <w:separator/>
      </w:r>
    </w:p>
  </w:endnote>
  <w:endnote w:type="continuationSeparator" w:id="0">
    <w:p w14:paraId="7F4E4243" w14:textId="77777777" w:rsidR="002F1979" w:rsidRDefault="002F1979" w:rsidP="00E6173C">
      <w:pPr>
        <w:spacing w:after="0" w:line="240" w:lineRule="auto"/>
      </w:pPr>
      <w:r>
        <w:continuationSeparator/>
      </w:r>
    </w:p>
  </w:endnote>
  <w:endnote w:type="continuationNotice" w:id="1">
    <w:p w14:paraId="5924E347" w14:textId="77777777" w:rsidR="002F1979" w:rsidRDefault="002F19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E58AE" w14:textId="77777777" w:rsidR="002F1979" w:rsidRDefault="002F1979" w:rsidP="00E6173C">
      <w:pPr>
        <w:spacing w:after="0" w:line="240" w:lineRule="auto"/>
      </w:pPr>
      <w:r>
        <w:separator/>
      </w:r>
    </w:p>
  </w:footnote>
  <w:footnote w:type="continuationSeparator" w:id="0">
    <w:p w14:paraId="114E0C59" w14:textId="77777777" w:rsidR="002F1979" w:rsidRDefault="002F1979" w:rsidP="00E6173C">
      <w:pPr>
        <w:spacing w:after="0" w:line="240" w:lineRule="auto"/>
      </w:pPr>
      <w:r>
        <w:continuationSeparator/>
      </w:r>
    </w:p>
  </w:footnote>
  <w:footnote w:type="continuationNotice" w:id="1">
    <w:p w14:paraId="7A28E739" w14:textId="77777777" w:rsidR="002F1979" w:rsidRDefault="002F197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2400E6"/>
    <w:multiLevelType w:val="hybridMultilevel"/>
    <w:tmpl w:val="2B220F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11312"/>
    <w:multiLevelType w:val="hybridMultilevel"/>
    <w:tmpl w:val="B8A2B4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F2BB7"/>
    <w:multiLevelType w:val="hybridMultilevel"/>
    <w:tmpl w:val="168EB5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D57A4"/>
    <w:multiLevelType w:val="multilevel"/>
    <w:tmpl w:val="D1961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AE17A1"/>
    <w:multiLevelType w:val="multilevel"/>
    <w:tmpl w:val="6F34A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474257"/>
    <w:multiLevelType w:val="hybridMultilevel"/>
    <w:tmpl w:val="7BD62E1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3173E2"/>
    <w:multiLevelType w:val="hybridMultilevel"/>
    <w:tmpl w:val="E4589F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426BB8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  <w:strike w:val="0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F3DFD"/>
    <w:multiLevelType w:val="hybridMultilevel"/>
    <w:tmpl w:val="0FFA42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E22FA"/>
    <w:multiLevelType w:val="hybridMultilevel"/>
    <w:tmpl w:val="35E2B20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E98662F2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D507A2"/>
    <w:multiLevelType w:val="multilevel"/>
    <w:tmpl w:val="195AF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AC1FD0"/>
    <w:multiLevelType w:val="hybridMultilevel"/>
    <w:tmpl w:val="48D2276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BB7507"/>
    <w:multiLevelType w:val="hybridMultilevel"/>
    <w:tmpl w:val="339EB902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6F21FE"/>
    <w:multiLevelType w:val="hybridMultilevel"/>
    <w:tmpl w:val="C010979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1B74ED"/>
    <w:multiLevelType w:val="hybridMultilevel"/>
    <w:tmpl w:val="04487AB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0B0D95"/>
    <w:multiLevelType w:val="multilevel"/>
    <w:tmpl w:val="82CC3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5E3AC8"/>
    <w:multiLevelType w:val="multilevel"/>
    <w:tmpl w:val="7C0C5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0A0421"/>
    <w:multiLevelType w:val="multilevel"/>
    <w:tmpl w:val="31C4B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10E1E02"/>
    <w:multiLevelType w:val="hybridMultilevel"/>
    <w:tmpl w:val="3F7A94CE"/>
    <w:lvl w:ilvl="0" w:tplc="493600B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2604EFE"/>
    <w:multiLevelType w:val="hybridMultilevel"/>
    <w:tmpl w:val="3BE653D0"/>
    <w:lvl w:ilvl="0" w:tplc="1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42B12C6"/>
    <w:multiLevelType w:val="hybridMultilevel"/>
    <w:tmpl w:val="BF34CA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F4658C"/>
    <w:multiLevelType w:val="hybridMultilevel"/>
    <w:tmpl w:val="83D06B5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2F5EB256"/>
    <w:lvl w:ilvl="0" w:tplc="18F83328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7" w15:restartNumberingAfterBreak="0">
    <w:nsid w:val="76F204F6"/>
    <w:multiLevelType w:val="multilevel"/>
    <w:tmpl w:val="E6A62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551724">
    <w:abstractNumId w:val="12"/>
  </w:num>
  <w:num w:numId="2" w16cid:durableId="455635262">
    <w:abstractNumId w:val="19"/>
  </w:num>
  <w:num w:numId="3" w16cid:durableId="25107966">
    <w:abstractNumId w:val="20"/>
  </w:num>
  <w:num w:numId="4" w16cid:durableId="1692341274">
    <w:abstractNumId w:val="8"/>
  </w:num>
  <w:num w:numId="5" w16cid:durableId="488135405">
    <w:abstractNumId w:val="0"/>
  </w:num>
  <w:num w:numId="6" w16cid:durableId="1784499720">
    <w:abstractNumId w:val="17"/>
  </w:num>
  <w:num w:numId="7" w16cid:durableId="1465925841">
    <w:abstractNumId w:val="24"/>
  </w:num>
  <w:num w:numId="8" w16cid:durableId="726606583">
    <w:abstractNumId w:val="2"/>
  </w:num>
  <w:num w:numId="9" w16cid:durableId="929049075">
    <w:abstractNumId w:val="1"/>
  </w:num>
  <w:num w:numId="10" w16cid:durableId="2015376567">
    <w:abstractNumId w:val="25"/>
  </w:num>
  <w:num w:numId="11" w16cid:durableId="660354483">
    <w:abstractNumId w:val="6"/>
  </w:num>
  <w:num w:numId="12" w16cid:durableId="189536570">
    <w:abstractNumId w:val="7"/>
  </w:num>
  <w:num w:numId="13" w16cid:durableId="50546124">
    <w:abstractNumId w:val="14"/>
  </w:num>
  <w:num w:numId="14" w16cid:durableId="1798792490">
    <w:abstractNumId w:val="16"/>
  </w:num>
  <w:num w:numId="15" w16cid:durableId="1372923456">
    <w:abstractNumId w:val="28"/>
  </w:num>
  <w:num w:numId="16" w16cid:durableId="121847891">
    <w:abstractNumId w:val="13"/>
  </w:num>
  <w:num w:numId="17" w16cid:durableId="2112163465">
    <w:abstractNumId w:val="15"/>
  </w:num>
  <w:num w:numId="18" w16cid:durableId="777409133">
    <w:abstractNumId w:val="23"/>
  </w:num>
  <w:num w:numId="19" w16cid:durableId="1256552077">
    <w:abstractNumId w:val="22"/>
  </w:num>
  <w:num w:numId="20" w16cid:durableId="853760403">
    <w:abstractNumId w:val="9"/>
  </w:num>
  <w:num w:numId="21" w16cid:durableId="859662023">
    <w:abstractNumId w:val="3"/>
  </w:num>
  <w:num w:numId="22" w16cid:durableId="1001586700">
    <w:abstractNumId w:val="10"/>
  </w:num>
  <w:num w:numId="23" w16cid:durableId="865949042">
    <w:abstractNumId w:val="4"/>
  </w:num>
  <w:num w:numId="24" w16cid:durableId="1838496869">
    <w:abstractNumId w:val="5"/>
  </w:num>
  <w:num w:numId="25" w16cid:durableId="332032699">
    <w:abstractNumId w:val="21"/>
  </w:num>
  <w:num w:numId="26" w16cid:durableId="529415403">
    <w:abstractNumId w:val="27"/>
  </w:num>
  <w:num w:numId="27" w16cid:durableId="890455964">
    <w:abstractNumId w:val="11"/>
  </w:num>
  <w:num w:numId="28" w16cid:durableId="889078029">
    <w:abstractNumId w:val="18"/>
  </w:num>
  <w:num w:numId="29" w16cid:durableId="1746878494">
    <w:abstractNumId w:val="10"/>
    <w:lvlOverride w:ilvl="0">
      <w:startOverride w:val="1"/>
    </w:lvlOverride>
  </w:num>
  <w:num w:numId="30" w16cid:durableId="186169675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CE2"/>
    <w:rsid w:val="00005554"/>
    <w:rsid w:val="00011567"/>
    <w:rsid w:val="000221F9"/>
    <w:rsid w:val="000246D0"/>
    <w:rsid w:val="0002477D"/>
    <w:rsid w:val="00060B87"/>
    <w:rsid w:val="0006223D"/>
    <w:rsid w:val="00067B5C"/>
    <w:rsid w:val="000714DC"/>
    <w:rsid w:val="00073D99"/>
    <w:rsid w:val="000774D0"/>
    <w:rsid w:val="00085D87"/>
    <w:rsid w:val="00094B3F"/>
    <w:rsid w:val="00097C99"/>
    <w:rsid w:val="000B1EA6"/>
    <w:rsid w:val="000B4E81"/>
    <w:rsid w:val="000C008D"/>
    <w:rsid w:val="000C108A"/>
    <w:rsid w:val="000C3B98"/>
    <w:rsid w:val="000C3DAE"/>
    <w:rsid w:val="000E69A5"/>
    <w:rsid w:val="00110854"/>
    <w:rsid w:val="0012104B"/>
    <w:rsid w:val="00127AFF"/>
    <w:rsid w:val="0013131A"/>
    <w:rsid w:val="001359E3"/>
    <w:rsid w:val="00141775"/>
    <w:rsid w:val="00141D14"/>
    <w:rsid w:val="00147EE4"/>
    <w:rsid w:val="001529F4"/>
    <w:rsid w:val="00157F65"/>
    <w:rsid w:val="00166A1A"/>
    <w:rsid w:val="00175007"/>
    <w:rsid w:val="001A2645"/>
    <w:rsid w:val="001A4D4B"/>
    <w:rsid w:val="001B0BB2"/>
    <w:rsid w:val="001C5CE0"/>
    <w:rsid w:val="001C5F0C"/>
    <w:rsid w:val="001C6E73"/>
    <w:rsid w:val="001D39C6"/>
    <w:rsid w:val="001D45DA"/>
    <w:rsid w:val="001F4700"/>
    <w:rsid w:val="001F66A5"/>
    <w:rsid w:val="00200676"/>
    <w:rsid w:val="00201D28"/>
    <w:rsid w:val="00204E94"/>
    <w:rsid w:val="00211397"/>
    <w:rsid w:val="00214590"/>
    <w:rsid w:val="00216E6C"/>
    <w:rsid w:val="00222203"/>
    <w:rsid w:val="00226CB8"/>
    <w:rsid w:val="00231DF2"/>
    <w:rsid w:val="00242AA8"/>
    <w:rsid w:val="00246CED"/>
    <w:rsid w:val="00253C3F"/>
    <w:rsid w:val="00254235"/>
    <w:rsid w:val="00257975"/>
    <w:rsid w:val="00272A04"/>
    <w:rsid w:val="002737B9"/>
    <w:rsid w:val="00281B22"/>
    <w:rsid w:val="0028321C"/>
    <w:rsid w:val="00292669"/>
    <w:rsid w:val="00295A18"/>
    <w:rsid w:val="002B4927"/>
    <w:rsid w:val="002B548A"/>
    <w:rsid w:val="002E49CC"/>
    <w:rsid w:val="002F1979"/>
    <w:rsid w:val="002F5F3A"/>
    <w:rsid w:val="002F62BA"/>
    <w:rsid w:val="002F7308"/>
    <w:rsid w:val="003035A6"/>
    <w:rsid w:val="00303AA1"/>
    <w:rsid w:val="0032309F"/>
    <w:rsid w:val="003401D8"/>
    <w:rsid w:val="00340999"/>
    <w:rsid w:val="00343944"/>
    <w:rsid w:val="003465D8"/>
    <w:rsid w:val="00351412"/>
    <w:rsid w:val="00361735"/>
    <w:rsid w:val="003772EA"/>
    <w:rsid w:val="003A4CE2"/>
    <w:rsid w:val="003B357E"/>
    <w:rsid w:val="003C49F8"/>
    <w:rsid w:val="003D6B84"/>
    <w:rsid w:val="003D6D25"/>
    <w:rsid w:val="003E0DF5"/>
    <w:rsid w:val="003E5BFD"/>
    <w:rsid w:val="003F7091"/>
    <w:rsid w:val="00405EE8"/>
    <w:rsid w:val="00414BA1"/>
    <w:rsid w:val="004216EE"/>
    <w:rsid w:val="00422ECC"/>
    <w:rsid w:val="00431492"/>
    <w:rsid w:val="00451079"/>
    <w:rsid w:val="004512B5"/>
    <w:rsid w:val="0045236A"/>
    <w:rsid w:val="00461713"/>
    <w:rsid w:val="00464FB5"/>
    <w:rsid w:val="0047133A"/>
    <w:rsid w:val="004919FD"/>
    <w:rsid w:val="004958C3"/>
    <w:rsid w:val="004A1DEB"/>
    <w:rsid w:val="004A5271"/>
    <w:rsid w:val="004A7A1F"/>
    <w:rsid w:val="004B308C"/>
    <w:rsid w:val="004B48C6"/>
    <w:rsid w:val="004D0FB6"/>
    <w:rsid w:val="004D3B1C"/>
    <w:rsid w:val="004D58C8"/>
    <w:rsid w:val="004D5C73"/>
    <w:rsid w:val="004E2F58"/>
    <w:rsid w:val="004E3B20"/>
    <w:rsid w:val="004E7BC8"/>
    <w:rsid w:val="005005B5"/>
    <w:rsid w:val="005027AA"/>
    <w:rsid w:val="005261F3"/>
    <w:rsid w:val="005272A7"/>
    <w:rsid w:val="00534429"/>
    <w:rsid w:val="005462EC"/>
    <w:rsid w:val="005542B5"/>
    <w:rsid w:val="005542FE"/>
    <w:rsid w:val="0055629F"/>
    <w:rsid w:val="0056643E"/>
    <w:rsid w:val="00575A78"/>
    <w:rsid w:val="005773EC"/>
    <w:rsid w:val="005779FC"/>
    <w:rsid w:val="00582D21"/>
    <w:rsid w:val="00592A9C"/>
    <w:rsid w:val="005972B8"/>
    <w:rsid w:val="005A2013"/>
    <w:rsid w:val="005A3463"/>
    <w:rsid w:val="005B6363"/>
    <w:rsid w:val="005C2A9E"/>
    <w:rsid w:val="005D20DF"/>
    <w:rsid w:val="005D6978"/>
    <w:rsid w:val="005E6A79"/>
    <w:rsid w:val="005F044E"/>
    <w:rsid w:val="005F1C94"/>
    <w:rsid w:val="005F5858"/>
    <w:rsid w:val="00610864"/>
    <w:rsid w:val="006261A8"/>
    <w:rsid w:val="006357A4"/>
    <w:rsid w:val="00640662"/>
    <w:rsid w:val="00643224"/>
    <w:rsid w:val="00645504"/>
    <w:rsid w:val="00647672"/>
    <w:rsid w:val="00650824"/>
    <w:rsid w:val="00650B97"/>
    <w:rsid w:val="00650E8D"/>
    <w:rsid w:val="00653CC0"/>
    <w:rsid w:val="006625F9"/>
    <w:rsid w:val="00672EB3"/>
    <w:rsid w:val="00673708"/>
    <w:rsid w:val="00680320"/>
    <w:rsid w:val="00684DEB"/>
    <w:rsid w:val="006868E7"/>
    <w:rsid w:val="006877BD"/>
    <w:rsid w:val="006927A0"/>
    <w:rsid w:val="006A1095"/>
    <w:rsid w:val="006A2C92"/>
    <w:rsid w:val="006B1EC6"/>
    <w:rsid w:val="006B574A"/>
    <w:rsid w:val="006B78E2"/>
    <w:rsid w:val="006C3295"/>
    <w:rsid w:val="006C3AE0"/>
    <w:rsid w:val="006E37A8"/>
    <w:rsid w:val="006E5A4E"/>
    <w:rsid w:val="006F5D1F"/>
    <w:rsid w:val="0070794E"/>
    <w:rsid w:val="00723CB1"/>
    <w:rsid w:val="00750E0F"/>
    <w:rsid w:val="00785953"/>
    <w:rsid w:val="00787CA4"/>
    <w:rsid w:val="00792B86"/>
    <w:rsid w:val="007A42D3"/>
    <w:rsid w:val="007C1926"/>
    <w:rsid w:val="007E1470"/>
    <w:rsid w:val="007E18AF"/>
    <w:rsid w:val="007E53AE"/>
    <w:rsid w:val="00803428"/>
    <w:rsid w:val="0080404A"/>
    <w:rsid w:val="0081581F"/>
    <w:rsid w:val="00824CEE"/>
    <w:rsid w:val="00833C75"/>
    <w:rsid w:val="00843053"/>
    <w:rsid w:val="008624DB"/>
    <w:rsid w:val="0088168C"/>
    <w:rsid w:val="008879F0"/>
    <w:rsid w:val="00891917"/>
    <w:rsid w:val="008B082B"/>
    <w:rsid w:val="008B384A"/>
    <w:rsid w:val="008C5FB0"/>
    <w:rsid w:val="008D227E"/>
    <w:rsid w:val="008D3071"/>
    <w:rsid w:val="008E1FA6"/>
    <w:rsid w:val="008F366E"/>
    <w:rsid w:val="00906AD4"/>
    <w:rsid w:val="00907465"/>
    <w:rsid w:val="00911CDA"/>
    <w:rsid w:val="00920D7F"/>
    <w:rsid w:val="00930569"/>
    <w:rsid w:val="00932771"/>
    <w:rsid w:val="00933A0C"/>
    <w:rsid w:val="00933E30"/>
    <w:rsid w:val="00934442"/>
    <w:rsid w:val="00934B1B"/>
    <w:rsid w:val="00936EE8"/>
    <w:rsid w:val="0094724D"/>
    <w:rsid w:val="00950CBF"/>
    <w:rsid w:val="00953B12"/>
    <w:rsid w:val="00955BE6"/>
    <w:rsid w:val="009737A6"/>
    <w:rsid w:val="00983034"/>
    <w:rsid w:val="00983BDE"/>
    <w:rsid w:val="00984AF0"/>
    <w:rsid w:val="00985D81"/>
    <w:rsid w:val="009869FA"/>
    <w:rsid w:val="009A38B2"/>
    <w:rsid w:val="009A6E03"/>
    <w:rsid w:val="009C41AF"/>
    <w:rsid w:val="009D4F3F"/>
    <w:rsid w:val="009E0A1B"/>
    <w:rsid w:val="009F1CFF"/>
    <w:rsid w:val="00A109FC"/>
    <w:rsid w:val="00A125FD"/>
    <w:rsid w:val="00A236BF"/>
    <w:rsid w:val="00A26C6F"/>
    <w:rsid w:val="00A35842"/>
    <w:rsid w:val="00A578A5"/>
    <w:rsid w:val="00A65397"/>
    <w:rsid w:val="00A84BDF"/>
    <w:rsid w:val="00A9157A"/>
    <w:rsid w:val="00AA3DB8"/>
    <w:rsid w:val="00AA6590"/>
    <w:rsid w:val="00AA71D5"/>
    <w:rsid w:val="00AB086D"/>
    <w:rsid w:val="00AC6038"/>
    <w:rsid w:val="00AD449E"/>
    <w:rsid w:val="00AF102C"/>
    <w:rsid w:val="00B04BCD"/>
    <w:rsid w:val="00B076FD"/>
    <w:rsid w:val="00B118C8"/>
    <w:rsid w:val="00B1513A"/>
    <w:rsid w:val="00B339B8"/>
    <w:rsid w:val="00B454D9"/>
    <w:rsid w:val="00B51171"/>
    <w:rsid w:val="00B530FC"/>
    <w:rsid w:val="00B62872"/>
    <w:rsid w:val="00B666AD"/>
    <w:rsid w:val="00B67D5A"/>
    <w:rsid w:val="00B86997"/>
    <w:rsid w:val="00B9428A"/>
    <w:rsid w:val="00BB3557"/>
    <w:rsid w:val="00BC0D68"/>
    <w:rsid w:val="00C03DEA"/>
    <w:rsid w:val="00C1397A"/>
    <w:rsid w:val="00C14F0F"/>
    <w:rsid w:val="00C32369"/>
    <w:rsid w:val="00C349D7"/>
    <w:rsid w:val="00C37B21"/>
    <w:rsid w:val="00C5572B"/>
    <w:rsid w:val="00C83067"/>
    <w:rsid w:val="00C84698"/>
    <w:rsid w:val="00C93B90"/>
    <w:rsid w:val="00C94CD5"/>
    <w:rsid w:val="00CA2932"/>
    <w:rsid w:val="00CA6861"/>
    <w:rsid w:val="00CB0C36"/>
    <w:rsid w:val="00CB1399"/>
    <w:rsid w:val="00CE3571"/>
    <w:rsid w:val="00CF12A0"/>
    <w:rsid w:val="00CF24CE"/>
    <w:rsid w:val="00CF2DFF"/>
    <w:rsid w:val="00CF2FFB"/>
    <w:rsid w:val="00D03B31"/>
    <w:rsid w:val="00D119EB"/>
    <w:rsid w:val="00D1609D"/>
    <w:rsid w:val="00D27DC7"/>
    <w:rsid w:val="00D30A72"/>
    <w:rsid w:val="00D3638B"/>
    <w:rsid w:val="00D36CF5"/>
    <w:rsid w:val="00D45D3C"/>
    <w:rsid w:val="00D537B8"/>
    <w:rsid w:val="00D6010F"/>
    <w:rsid w:val="00D76E64"/>
    <w:rsid w:val="00D7795D"/>
    <w:rsid w:val="00D821C2"/>
    <w:rsid w:val="00DA07EC"/>
    <w:rsid w:val="00DA6B16"/>
    <w:rsid w:val="00DA6D92"/>
    <w:rsid w:val="00DE5473"/>
    <w:rsid w:val="00E51062"/>
    <w:rsid w:val="00E6173C"/>
    <w:rsid w:val="00E65759"/>
    <w:rsid w:val="00E81330"/>
    <w:rsid w:val="00EB09C4"/>
    <w:rsid w:val="00EB2AAE"/>
    <w:rsid w:val="00EB6801"/>
    <w:rsid w:val="00EB6CB5"/>
    <w:rsid w:val="00EC0181"/>
    <w:rsid w:val="00EE2028"/>
    <w:rsid w:val="00EF258A"/>
    <w:rsid w:val="00F0320C"/>
    <w:rsid w:val="00F037DB"/>
    <w:rsid w:val="00F13A9B"/>
    <w:rsid w:val="00F20694"/>
    <w:rsid w:val="00F24737"/>
    <w:rsid w:val="00F33D09"/>
    <w:rsid w:val="00F55047"/>
    <w:rsid w:val="00F70405"/>
    <w:rsid w:val="00F72D8F"/>
    <w:rsid w:val="00F94F89"/>
    <w:rsid w:val="00F95445"/>
    <w:rsid w:val="00FA5BAF"/>
    <w:rsid w:val="00FC1CA0"/>
    <w:rsid w:val="00FD6010"/>
    <w:rsid w:val="00FE1F97"/>
    <w:rsid w:val="00FF7584"/>
    <w:rsid w:val="0A355E33"/>
    <w:rsid w:val="2E041E78"/>
    <w:rsid w:val="40A40A37"/>
    <w:rsid w:val="6FD1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1B7738F"/>
  <w15:chartTrackingRefBased/>
  <w15:docId w15:val="{E13B55DE-9676-4E9D-A71E-A699149EE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8879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79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i-provider">
    <w:name w:val="ui-provider"/>
    <w:basedOn w:val="DefaultParagraphFont"/>
    <w:rsid w:val="003A4CE2"/>
  </w:style>
  <w:style w:type="paragraph" w:styleId="ListParagraph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列表段"/>
    <w:basedOn w:val="Normal"/>
    <w:link w:val="ListParagraphChar"/>
    <w:uiPriority w:val="34"/>
    <w:qFormat/>
    <w:rsid w:val="00D45D3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34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C5FB0"/>
    <w:rPr>
      <w:color w:val="0563C1"/>
      <w:u w:val="single"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basedOn w:val="DefaultParagraphFont"/>
    <w:link w:val="ListParagraph"/>
    <w:uiPriority w:val="34"/>
    <w:qFormat/>
    <w:locked/>
    <w:rsid w:val="008C5FB0"/>
  </w:style>
  <w:style w:type="character" w:styleId="FollowedHyperlink">
    <w:name w:val="FollowedHyperlink"/>
    <w:basedOn w:val="DefaultParagraphFont"/>
    <w:uiPriority w:val="99"/>
    <w:semiHidden/>
    <w:unhideWhenUsed/>
    <w:rsid w:val="008C5FB0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qFormat/>
    <w:rsid w:val="008C5F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879F0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8879F0"/>
    <w:pPr>
      <w:tabs>
        <w:tab w:val="left" w:pos="1701"/>
        <w:tab w:val="right" w:pos="9639"/>
      </w:tabs>
      <w:spacing w:after="240"/>
    </w:pPr>
    <w:rPr>
      <w:b/>
    </w:rPr>
  </w:style>
  <w:style w:type="paragraph" w:styleId="BodyText">
    <w:name w:val="Body Text"/>
    <w:basedOn w:val="Normal"/>
    <w:link w:val="BodyTextChar"/>
    <w:rsid w:val="008879F0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8879F0"/>
    <w:rPr>
      <w:rFonts w:ascii="Arial" w:eastAsia="Times New Roman" w:hAnsi="Arial" w:cs="Times New Roman"/>
      <w:sz w:val="20"/>
      <w:szCs w:val="24"/>
      <w:lang w:val="en-US" w:eastAsia="zh-CN"/>
    </w:rPr>
  </w:style>
  <w:style w:type="table" w:customStyle="1" w:styleId="TableGrid1">
    <w:name w:val="Table Grid1"/>
    <w:basedOn w:val="TableNormal"/>
    <w:next w:val="TableGrid"/>
    <w:uiPriority w:val="59"/>
    <w:rsid w:val="008879F0"/>
    <w:pPr>
      <w:spacing w:after="0" w:line="240" w:lineRule="auto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8879F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1">
    <w:name w:val="B1"/>
    <w:basedOn w:val="List"/>
    <w:link w:val="B1Char1"/>
    <w:qFormat/>
    <w:rsid w:val="008879F0"/>
    <w:pPr>
      <w:overflowPunct w:val="0"/>
      <w:autoSpaceDE w:val="0"/>
      <w:autoSpaceDN w:val="0"/>
      <w:adjustRightInd w:val="0"/>
      <w:spacing w:after="120" w:line="240" w:lineRule="auto"/>
      <w:ind w:left="568" w:hanging="284"/>
      <w:contextualSpacing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Observation">
    <w:name w:val="Observation"/>
    <w:basedOn w:val="Normal"/>
    <w:qFormat/>
    <w:rsid w:val="008879F0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879F0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8879F0"/>
    <w:pPr>
      <w:ind w:left="283" w:hanging="283"/>
      <w:contextualSpacing/>
    </w:pPr>
  </w:style>
  <w:style w:type="paragraph" w:customStyle="1" w:styleId="B2">
    <w:name w:val="B2"/>
    <w:basedOn w:val="List2"/>
    <w:link w:val="B2Char"/>
    <w:qFormat/>
    <w:rsid w:val="00B8699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B86997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B86997"/>
    <w:pPr>
      <w:ind w:left="566" w:hanging="283"/>
      <w:contextualSpacing/>
    </w:pPr>
  </w:style>
  <w:style w:type="paragraph" w:customStyle="1" w:styleId="Reference">
    <w:name w:val="Reference"/>
    <w:basedOn w:val="BodyText"/>
    <w:rsid w:val="00B86997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szCs w:val="2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B8699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semiHidden/>
    <w:unhideWhenUsed/>
    <w:rsid w:val="005562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629F"/>
  </w:style>
  <w:style w:type="paragraph" w:styleId="Footer">
    <w:name w:val="footer"/>
    <w:basedOn w:val="Normal"/>
    <w:link w:val="FooterChar"/>
    <w:uiPriority w:val="99"/>
    <w:semiHidden/>
    <w:unhideWhenUsed/>
    <w:rsid w:val="005562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5629F"/>
  </w:style>
  <w:style w:type="paragraph" w:customStyle="1" w:styleId="Proposal">
    <w:name w:val="Proposal"/>
    <w:basedOn w:val="BodyText"/>
    <w:qFormat/>
    <w:rsid w:val="0055629F"/>
    <w:pPr>
      <w:numPr>
        <w:numId w:val="22"/>
      </w:numPr>
      <w:tabs>
        <w:tab w:val="left" w:pos="1701"/>
      </w:tabs>
      <w:spacing w:line="259" w:lineRule="auto"/>
    </w:pPr>
    <w:rPr>
      <w:rFonts w:eastAsiaTheme="minorHAnsi" w:cstheme="minorBidi"/>
      <w:b/>
      <w:bCs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556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62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62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6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629F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55629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3035A6"/>
    <w:pPr>
      <w:spacing w:after="0" w:line="240" w:lineRule="auto"/>
    </w:pPr>
  </w:style>
  <w:style w:type="paragraph" w:styleId="Index1">
    <w:name w:val="index 1"/>
    <w:basedOn w:val="Normal"/>
    <w:rsid w:val="005779FC"/>
    <w:pPr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TableofFigures">
    <w:name w:val="table of figures"/>
    <w:basedOn w:val="BodyText"/>
    <w:next w:val="Normal"/>
    <w:uiPriority w:val="99"/>
    <w:rsid w:val="005779FC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b/>
      <w:szCs w:val="20"/>
      <w:lang w:val="en-GB"/>
    </w:rPr>
  </w:style>
  <w:style w:type="character" w:styleId="PageNumber">
    <w:name w:val="page number"/>
    <w:basedOn w:val="DefaultParagraphFont"/>
    <w:rsid w:val="00672EB3"/>
  </w:style>
  <w:style w:type="paragraph" w:customStyle="1" w:styleId="Doc-text2">
    <w:name w:val="Doc-text2"/>
    <w:basedOn w:val="Normal"/>
    <w:link w:val="Doc-text2Char"/>
    <w:qFormat/>
    <w:rsid w:val="00645504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645504"/>
    <w:rPr>
      <w:rFonts w:ascii="Arial" w:eastAsia="MS Mincho" w:hAnsi="Arial"/>
      <w:sz w:val="20"/>
      <w:szCs w:val="24"/>
      <w:lang w:val="x-none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645504"/>
    <w:pPr>
      <w:numPr>
        <w:numId w:val="30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TSG_RAN/TSGR_98e/Docs/RP-22354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TSG_RAN/TSGR_98e/Docs/RP-223544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837CE7-B507-44C8-8B7C-C4FECA17C5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4A6B8B-4E28-41F2-8A6A-6B220EAAB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E90860-EFFE-4291-BF05-DABE1300BD2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E4CFEFA-E3CE-4552-A7CD-A66C87FD0C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Hamza Khan</dc:creator>
  <cp:keywords/>
  <dc:description/>
  <cp:lastModifiedBy>Emre A. Yavuz</cp:lastModifiedBy>
  <cp:revision>285</cp:revision>
  <dcterms:created xsi:type="dcterms:W3CDTF">2023-02-07T10:09:00Z</dcterms:created>
  <dcterms:modified xsi:type="dcterms:W3CDTF">2023-04-07T10:01:00Z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